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08" w:rsidRPr="0042254F" w:rsidRDefault="00A85D08" w:rsidP="0042254F">
      <w:pPr>
        <w:pStyle w:val="Default"/>
        <w:spacing w:line="360" w:lineRule="auto"/>
        <w:rPr>
          <w:rFonts w:asciiTheme="minorBidi" w:hAnsiTheme="minorBidi" w:cstheme="minorBidi"/>
        </w:rPr>
      </w:pPr>
      <w:r w:rsidRPr="0042254F">
        <w:rPr>
          <w:rFonts w:asciiTheme="minorBidi" w:hAnsiTheme="minorBidi" w:cstheme="minorBidi"/>
          <w:bCs/>
        </w:rPr>
        <w:t>Eixo I:</w:t>
      </w:r>
      <w:r w:rsidR="0042254F" w:rsidRPr="0042254F">
        <w:rPr>
          <w:rFonts w:asciiTheme="minorBidi" w:hAnsiTheme="minorBidi" w:cstheme="minorBidi"/>
        </w:rPr>
        <w:t>Enfrentamento ao racismo e as outras formas correlatadas de discriminação étnico-racial</w:t>
      </w:r>
      <w:r w:rsidR="0042254F">
        <w:rPr>
          <w:rFonts w:asciiTheme="minorBidi" w:hAnsiTheme="minorBidi" w:cstheme="minorBidi"/>
        </w:rPr>
        <w:t xml:space="preserve"> e étnico-cultural.</w:t>
      </w:r>
      <w:r w:rsidRPr="0042254F">
        <w:rPr>
          <w:rFonts w:asciiTheme="minorBidi" w:hAnsiTheme="minorBidi" w:cstheme="minorBidi"/>
        </w:rPr>
        <w:t xml:space="preserve"> </w:t>
      </w:r>
    </w:p>
    <w:p w:rsidR="0086046E" w:rsidRDefault="0086046E">
      <w:r w:rsidRPr="0042254F">
        <w:rPr>
          <w:rFonts w:asciiTheme="minorBidi" w:hAnsiTheme="minorBidi"/>
          <w:sz w:val="24"/>
          <w:szCs w:val="24"/>
        </w:rPr>
        <w:t xml:space="preserve">Responsável: </w:t>
      </w:r>
      <w:r w:rsidR="00540FCC">
        <w:rPr>
          <w:rFonts w:asciiTheme="minorBidi" w:hAnsiTheme="minorBidi"/>
          <w:sz w:val="24"/>
          <w:szCs w:val="24"/>
        </w:rPr>
        <w:t>Claudinei e Augusto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992"/>
        <w:gridCol w:w="889"/>
        <w:gridCol w:w="2452"/>
        <w:gridCol w:w="2153"/>
      </w:tblGrid>
      <w:tr w:rsidR="0086046E" w:rsidTr="0086046E">
        <w:tc>
          <w:tcPr>
            <w:tcW w:w="6374" w:type="dxa"/>
          </w:tcPr>
          <w:p w:rsidR="0086046E" w:rsidRDefault="0086046E">
            <w:r>
              <w:t xml:space="preserve">Proposta </w:t>
            </w:r>
          </w:p>
        </w:tc>
        <w:tc>
          <w:tcPr>
            <w:tcW w:w="1134" w:type="dxa"/>
          </w:tcPr>
          <w:p w:rsidR="0086046E" w:rsidRDefault="0086046E">
            <w:r>
              <w:t xml:space="preserve">Municipal </w:t>
            </w:r>
          </w:p>
        </w:tc>
        <w:tc>
          <w:tcPr>
            <w:tcW w:w="992" w:type="dxa"/>
          </w:tcPr>
          <w:p w:rsidR="0086046E" w:rsidRDefault="0086046E">
            <w:r>
              <w:t>Estadual</w:t>
            </w:r>
          </w:p>
        </w:tc>
        <w:tc>
          <w:tcPr>
            <w:tcW w:w="889" w:type="dxa"/>
          </w:tcPr>
          <w:p w:rsidR="0086046E" w:rsidRDefault="0086046E">
            <w:r>
              <w:t xml:space="preserve">Federal </w:t>
            </w:r>
          </w:p>
        </w:tc>
        <w:tc>
          <w:tcPr>
            <w:tcW w:w="2452" w:type="dxa"/>
          </w:tcPr>
          <w:p w:rsidR="0086046E" w:rsidRDefault="00F70566" w:rsidP="0086046E">
            <w:r>
              <w:t>Aprovação</w:t>
            </w:r>
            <w:r w:rsidR="0086046E">
              <w:t xml:space="preserve"> </w:t>
            </w:r>
          </w:p>
        </w:tc>
        <w:tc>
          <w:tcPr>
            <w:tcW w:w="2153" w:type="dxa"/>
          </w:tcPr>
          <w:p w:rsidR="0086046E" w:rsidRDefault="0086046E">
            <w:r>
              <w:t xml:space="preserve">Prazo </w:t>
            </w:r>
          </w:p>
        </w:tc>
      </w:tr>
      <w:tr w:rsidR="0086046E" w:rsidTr="0086046E">
        <w:tc>
          <w:tcPr>
            <w:tcW w:w="6374" w:type="dxa"/>
          </w:tcPr>
          <w:p w:rsidR="0086046E" w:rsidRDefault="0086046E"/>
          <w:p w:rsidR="00F70566" w:rsidRDefault="00F70566" w:rsidP="00F70566">
            <w:pPr>
              <w:spacing w:line="360" w:lineRule="auto"/>
              <w:jc w:val="both"/>
            </w:pPr>
            <w:r>
              <w:t>I - Capacitação por meio da SEMEC com oferta de cursos de estudos étnico raciais como parte das ações de formação obrigatória na Jornada pedagógica inicial dos anos letivos.</w:t>
            </w:r>
          </w:p>
          <w:p w:rsidR="00F70566" w:rsidRDefault="00F70566" w:rsidP="00F70566">
            <w:pPr>
              <w:spacing w:line="360" w:lineRule="auto"/>
              <w:jc w:val="both"/>
            </w:pPr>
          </w:p>
          <w:p w:rsidR="00F70566" w:rsidRDefault="00F70566" w:rsidP="00F70566">
            <w:pPr>
              <w:spacing w:line="360" w:lineRule="auto"/>
              <w:jc w:val="both"/>
            </w:pPr>
            <w:r w:rsidRPr="00F70566">
              <w:t>II -</w:t>
            </w:r>
            <w:r>
              <w:rPr>
                <w:b/>
              </w:rPr>
              <w:t xml:space="preserve"> </w:t>
            </w:r>
            <w:r>
              <w:t>Cursos e capacitações de estudos étnico raciais nas/para instituições públicas e privadas, sendo obrigatórias para todas as secretarias do poder público e Câmara de Vereadores e sugestiva à iniciativa privada, como ACINA e demais empresas do município.</w:t>
            </w:r>
          </w:p>
          <w:p w:rsidR="00F70566" w:rsidRDefault="00F70566" w:rsidP="00F70566">
            <w:pPr>
              <w:spacing w:line="360" w:lineRule="auto"/>
              <w:jc w:val="both"/>
            </w:pPr>
          </w:p>
          <w:p w:rsidR="00F70566" w:rsidRDefault="00F70566" w:rsidP="00F70566">
            <w:pPr>
              <w:spacing w:line="360" w:lineRule="auto"/>
              <w:jc w:val="both"/>
            </w:pPr>
            <w:r w:rsidRPr="00F70566">
              <w:t>III -</w:t>
            </w:r>
            <w:r>
              <w:rPr>
                <w:b/>
              </w:rPr>
              <w:t xml:space="preserve"> </w:t>
            </w:r>
            <w:r>
              <w:t xml:space="preserve">Indicação à </w:t>
            </w:r>
            <w:proofErr w:type="spellStart"/>
            <w:r>
              <w:t>Camâra</w:t>
            </w:r>
            <w:proofErr w:type="spellEnd"/>
            <w:r>
              <w:t>, de Lei Municipal que: Dispõe sobre</w:t>
            </w:r>
            <w:proofErr w:type="gramStart"/>
            <w:r>
              <w:t xml:space="preserve">  </w:t>
            </w:r>
            <w:proofErr w:type="gramEnd"/>
            <w:r>
              <w:t>a obrigatoriedade dos órgãos públicos ofertarem formação e capacitação por meio de estudos e cursos, sobre questões étnico-raciais.</w:t>
            </w:r>
          </w:p>
          <w:p w:rsidR="00F70566" w:rsidRDefault="00F70566" w:rsidP="00F70566">
            <w:pPr>
              <w:spacing w:line="360" w:lineRule="auto"/>
              <w:jc w:val="both"/>
            </w:pPr>
          </w:p>
          <w:p w:rsidR="00F70566" w:rsidRDefault="00F70566" w:rsidP="00F70566">
            <w:pPr>
              <w:spacing w:line="360" w:lineRule="auto"/>
              <w:jc w:val="both"/>
            </w:pPr>
          </w:p>
          <w:p w:rsidR="00F70566" w:rsidRDefault="00F70566" w:rsidP="00F70566">
            <w:pPr>
              <w:spacing w:line="360" w:lineRule="auto"/>
              <w:jc w:val="both"/>
            </w:pPr>
          </w:p>
          <w:p w:rsidR="00F70566" w:rsidRDefault="00F70566" w:rsidP="00F70566">
            <w:pPr>
              <w:spacing w:line="360" w:lineRule="auto"/>
              <w:jc w:val="both"/>
            </w:pPr>
          </w:p>
          <w:p w:rsidR="00F70566" w:rsidRPr="000C299F" w:rsidRDefault="00F70566" w:rsidP="00F70566">
            <w:pPr>
              <w:spacing w:line="360" w:lineRule="auto"/>
              <w:jc w:val="both"/>
              <w:rPr>
                <w:b/>
              </w:rPr>
            </w:pPr>
            <w:r w:rsidRPr="00F70566">
              <w:lastRenderedPageBreak/>
              <w:t>IV -</w:t>
            </w:r>
            <w:r>
              <w:rPr>
                <w:b/>
              </w:rPr>
              <w:t xml:space="preserve"> </w:t>
            </w:r>
            <w:r>
              <w:t xml:space="preserve">Indicação à </w:t>
            </w:r>
            <w:proofErr w:type="spellStart"/>
            <w:r>
              <w:t>Camâra</w:t>
            </w:r>
            <w:proofErr w:type="spellEnd"/>
            <w:r>
              <w:t xml:space="preserve"> de Deputados a implantação de Lei Estadual que: Dispõe sobre</w:t>
            </w:r>
            <w:proofErr w:type="gramStart"/>
            <w:r>
              <w:t xml:space="preserve">  </w:t>
            </w:r>
            <w:proofErr w:type="gramEnd"/>
            <w:r>
              <w:t>a obrigatoriedade dos órgãos públicos ofertarem formação e capacitação por meio de estudos e cursos, sobre questões étnico-raciais.</w:t>
            </w:r>
          </w:p>
          <w:p w:rsidR="00F70566" w:rsidRPr="000C299F" w:rsidRDefault="00F70566" w:rsidP="00F70566">
            <w:pPr>
              <w:spacing w:line="360" w:lineRule="auto"/>
              <w:jc w:val="both"/>
              <w:rPr>
                <w:b/>
              </w:rPr>
            </w:pPr>
          </w:p>
          <w:p w:rsidR="0027254E" w:rsidRPr="000C299F" w:rsidRDefault="00F70566" w:rsidP="0027254E">
            <w:pPr>
              <w:spacing w:line="360" w:lineRule="auto"/>
              <w:jc w:val="both"/>
              <w:rPr>
                <w:b/>
              </w:rPr>
            </w:pPr>
            <w:r>
              <w:t xml:space="preserve">V - Indicação à </w:t>
            </w:r>
            <w:proofErr w:type="spellStart"/>
            <w:r>
              <w:t>Camâra</w:t>
            </w:r>
            <w:proofErr w:type="spellEnd"/>
            <w:r>
              <w:t xml:space="preserve"> de Deputados a implantação de</w:t>
            </w:r>
            <w:r w:rsidR="0027254E">
              <w:t xml:space="preserve"> Lei Federal que: Dispõe sobre</w:t>
            </w:r>
            <w:r>
              <w:t xml:space="preserve"> a obrigatoriedade dos órgãos públicos</w:t>
            </w:r>
            <w:r w:rsidR="0027254E">
              <w:t xml:space="preserve"> ofertarem formação e capacitação por meio de estudos e cursos, sobre questões étnico-raciais.</w:t>
            </w:r>
          </w:p>
          <w:p w:rsidR="00F70566" w:rsidRDefault="00F70566" w:rsidP="00F70566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  <w:p w:rsidR="0086046E" w:rsidRDefault="0086046E"/>
        </w:tc>
        <w:tc>
          <w:tcPr>
            <w:tcW w:w="1134" w:type="dxa"/>
          </w:tcPr>
          <w:p w:rsidR="0086046E" w:rsidRDefault="0086046E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  <w:r>
              <w:t>X</w:t>
            </w: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  <w:r>
              <w:t>X</w:t>
            </w: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86046E" w:rsidRDefault="0086046E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27254E" w:rsidP="0027254E">
            <w:r>
              <w:t>X</w:t>
            </w: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  <w:r>
              <w:t>X</w:t>
            </w:r>
          </w:p>
        </w:tc>
        <w:tc>
          <w:tcPr>
            <w:tcW w:w="889" w:type="dxa"/>
          </w:tcPr>
          <w:p w:rsidR="0086046E" w:rsidRDefault="0086046E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27254E"/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</w:p>
          <w:p w:rsidR="0027254E" w:rsidRDefault="0027254E" w:rsidP="00F70566">
            <w:pPr>
              <w:jc w:val="center"/>
            </w:pPr>
          </w:p>
          <w:p w:rsidR="0027254E" w:rsidRDefault="0027254E" w:rsidP="00F70566">
            <w:pPr>
              <w:jc w:val="center"/>
            </w:pPr>
          </w:p>
          <w:p w:rsidR="00F70566" w:rsidRDefault="00F70566" w:rsidP="00F70566">
            <w:pPr>
              <w:jc w:val="center"/>
            </w:pPr>
            <w:r>
              <w:t>X</w:t>
            </w:r>
          </w:p>
        </w:tc>
        <w:tc>
          <w:tcPr>
            <w:tcW w:w="2452" w:type="dxa"/>
          </w:tcPr>
          <w:p w:rsidR="0086046E" w:rsidRDefault="0086046E"/>
          <w:p w:rsidR="0027254E" w:rsidRDefault="0027254E">
            <w:r>
              <w:t>Proposta aprovada com 35 votos.</w:t>
            </w:r>
          </w:p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>
            <w:r>
              <w:t>Aprovada com 38 votos.</w:t>
            </w:r>
          </w:p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>
            <w:r>
              <w:t>Aprovada com 38 votos</w:t>
            </w:r>
          </w:p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>
            <w:r>
              <w:lastRenderedPageBreak/>
              <w:t>Aprovada com 39 votos</w:t>
            </w:r>
          </w:p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/>
          <w:p w:rsidR="0027254E" w:rsidRDefault="0027254E">
            <w:r>
              <w:t>Aprovada com 42 votos</w:t>
            </w:r>
          </w:p>
        </w:tc>
        <w:tc>
          <w:tcPr>
            <w:tcW w:w="2153" w:type="dxa"/>
          </w:tcPr>
          <w:p w:rsidR="0086046E" w:rsidRDefault="0086046E"/>
        </w:tc>
      </w:tr>
    </w:tbl>
    <w:p w:rsidR="00A85D08" w:rsidRPr="0042254F" w:rsidRDefault="00A85D08" w:rsidP="0042254F">
      <w:pPr>
        <w:pStyle w:val="Default"/>
        <w:spacing w:line="360" w:lineRule="auto"/>
        <w:rPr>
          <w:rFonts w:ascii="Arial" w:hAnsi="Arial" w:cs="Arial"/>
        </w:rPr>
      </w:pPr>
      <w:r w:rsidRPr="0042254F">
        <w:rPr>
          <w:rFonts w:ascii="Arial" w:hAnsi="Arial" w:cs="Arial"/>
          <w:bCs/>
        </w:rPr>
        <w:lastRenderedPageBreak/>
        <w:t>Eixo II:</w:t>
      </w:r>
      <w:r w:rsidR="0042254F" w:rsidRPr="0042254F">
        <w:rPr>
          <w:rFonts w:ascii="Arial" w:hAnsi="Arial" w:cs="Arial"/>
        </w:rPr>
        <w:t xml:space="preserve"> Enfrentamento a todo tipo de violência praticada por meio das invasões de território</w:t>
      </w:r>
      <w:r w:rsidR="0042254F">
        <w:rPr>
          <w:rFonts w:ascii="Arial" w:hAnsi="Arial" w:cs="Arial"/>
        </w:rPr>
        <w:t>s.</w:t>
      </w:r>
      <w:r w:rsidRPr="0042254F">
        <w:rPr>
          <w:rFonts w:ascii="Arial" w:hAnsi="Arial" w:cs="Arial"/>
        </w:rPr>
        <w:t xml:space="preserve"> </w:t>
      </w:r>
    </w:p>
    <w:p w:rsidR="0086046E" w:rsidRPr="0042254F" w:rsidRDefault="0086046E" w:rsidP="0086046E">
      <w:pPr>
        <w:rPr>
          <w:rFonts w:ascii="Arial" w:hAnsi="Arial" w:cs="Arial"/>
          <w:sz w:val="24"/>
          <w:szCs w:val="24"/>
        </w:rPr>
      </w:pPr>
      <w:r w:rsidRPr="0042254F">
        <w:rPr>
          <w:rFonts w:ascii="Arial" w:hAnsi="Arial" w:cs="Arial"/>
          <w:sz w:val="24"/>
          <w:szCs w:val="24"/>
        </w:rPr>
        <w:t>Responsável: __________________________________________________________________________________________</w:t>
      </w:r>
    </w:p>
    <w:p w:rsidR="0086046E" w:rsidRDefault="0086046E" w:rsidP="0086046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992"/>
        <w:gridCol w:w="889"/>
        <w:gridCol w:w="2452"/>
        <w:gridCol w:w="2153"/>
      </w:tblGrid>
      <w:tr w:rsidR="0086046E" w:rsidTr="002A70FB">
        <w:tc>
          <w:tcPr>
            <w:tcW w:w="6374" w:type="dxa"/>
          </w:tcPr>
          <w:p w:rsidR="0086046E" w:rsidRDefault="0086046E" w:rsidP="002A70FB">
            <w:r>
              <w:t xml:space="preserve">Proposta </w:t>
            </w:r>
          </w:p>
        </w:tc>
        <w:tc>
          <w:tcPr>
            <w:tcW w:w="1134" w:type="dxa"/>
          </w:tcPr>
          <w:p w:rsidR="0086046E" w:rsidRDefault="0086046E" w:rsidP="002A70FB">
            <w:r>
              <w:t xml:space="preserve">Municipal </w:t>
            </w:r>
          </w:p>
        </w:tc>
        <w:tc>
          <w:tcPr>
            <w:tcW w:w="992" w:type="dxa"/>
          </w:tcPr>
          <w:p w:rsidR="0086046E" w:rsidRDefault="0086046E" w:rsidP="002A70FB">
            <w:r>
              <w:t>Estadual</w:t>
            </w:r>
          </w:p>
        </w:tc>
        <w:tc>
          <w:tcPr>
            <w:tcW w:w="889" w:type="dxa"/>
          </w:tcPr>
          <w:p w:rsidR="0086046E" w:rsidRDefault="0086046E" w:rsidP="002A70FB">
            <w:r>
              <w:t xml:space="preserve">Federal </w:t>
            </w:r>
          </w:p>
        </w:tc>
        <w:tc>
          <w:tcPr>
            <w:tcW w:w="2452" w:type="dxa"/>
          </w:tcPr>
          <w:p w:rsidR="0086046E" w:rsidRDefault="0086046E" w:rsidP="002A70FB">
            <w:r>
              <w:t xml:space="preserve">Responsáveis </w:t>
            </w:r>
          </w:p>
        </w:tc>
        <w:tc>
          <w:tcPr>
            <w:tcW w:w="2153" w:type="dxa"/>
          </w:tcPr>
          <w:p w:rsidR="0086046E" w:rsidRDefault="0086046E" w:rsidP="002A70FB">
            <w:r>
              <w:t xml:space="preserve">Prazo </w:t>
            </w:r>
          </w:p>
        </w:tc>
      </w:tr>
      <w:tr w:rsidR="0086046E" w:rsidTr="002A70FB">
        <w:tc>
          <w:tcPr>
            <w:tcW w:w="6374" w:type="dxa"/>
          </w:tcPr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</w:tc>
        <w:tc>
          <w:tcPr>
            <w:tcW w:w="1134" w:type="dxa"/>
          </w:tcPr>
          <w:p w:rsidR="0086046E" w:rsidRDefault="0086046E" w:rsidP="002A70FB"/>
        </w:tc>
        <w:tc>
          <w:tcPr>
            <w:tcW w:w="992" w:type="dxa"/>
          </w:tcPr>
          <w:p w:rsidR="0086046E" w:rsidRDefault="0086046E" w:rsidP="002A70FB"/>
        </w:tc>
        <w:tc>
          <w:tcPr>
            <w:tcW w:w="889" w:type="dxa"/>
          </w:tcPr>
          <w:p w:rsidR="0086046E" w:rsidRDefault="0086046E" w:rsidP="002A70FB"/>
        </w:tc>
        <w:tc>
          <w:tcPr>
            <w:tcW w:w="2452" w:type="dxa"/>
          </w:tcPr>
          <w:p w:rsidR="0086046E" w:rsidRDefault="0086046E" w:rsidP="002A70FB"/>
        </w:tc>
        <w:tc>
          <w:tcPr>
            <w:tcW w:w="2153" w:type="dxa"/>
          </w:tcPr>
          <w:p w:rsidR="0086046E" w:rsidRDefault="0086046E" w:rsidP="002A70FB"/>
        </w:tc>
      </w:tr>
    </w:tbl>
    <w:p w:rsidR="0086046E" w:rsidRDefault="0086046E"/>
    <w:p w:rsidR="0042254F" w:rsidRDefault="0042254F" w:rsidP="0042254F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2254F" w:rsidRDefault="0042254F" w:rsidP="0042254F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A85D08" w:rsidRPr="0042254F" w:rsidRDefault="00A85D08" w:rsidP="0042254F">
      <w:pPr>
        <w:pStyle w:val="Default"/>
        <w:spacing w:line="360" w:lineRule="auto"/>
        <w:rPr>
          <w:rFonts w:ascii="Arial" w:hAnsi="Arial" w:cs="Arial"/>
        </w:rPr>
      </w:pPr>
      <w:r w:rsidRPr="0042254F">
        <w:rPr>
          <w:rFonts w:ascii="Arial" w:hAnsi="Arial" w:cs="Arial"/>
          <w:bCs/>
        </w:rPr>
        <w:lastRenderedPageBreak/>
        <w:t>Eixo III:</w:t>
      </w:r>
      <w:r w:rsidR="0042254F" w:rsidRPr="0042254F">
        <w:rPr>
          <w:rFonts w:ascii="Arial" w:hAnsi="Arial" w:cs="Arial"/>
          <w:bCs/>
        </w:rPr>
        <w:t xml:space="preserve"> Enfrentamento a intolerância Religiosa</w:t>
      </w:r>
      <w:r w:rsidRPr="0042254F">
        <w:rPr>
          <w:rFonts w:ascii="Arial" w:hAnsi="Arial" w:cs="Arial"/>
        </w:rPr>
        <w:t xml:space="preserve">; </w:t>
      </w:r>
    </w:p>
    <w:p w:rsidR="0086046E" w:rsidRPr="0042254F" w:rsidRDefault="0086046E" w:rsidP="0086046E">
      <w:pPr>
        <w:rPr>
          <w:rFonts w:ascii="Arial" w:hAnsi="Arial" w:cs="Arial"/>
          <w:sz w:val="24"/>
          <w:szCs w:val="24"/>
        </w:rPr>
      </w:pPr>
      <w:r w:rsidRPr="0042254F">
        <w:rPr>
          <w:rFonts w:ascii="Arial" w:hAnsi="Arial" w:cs="Arial"/>
          <w:sz w:val="24"/>
          <w:szCs w:val="24"/>
        </w:rPr>
        <w:t>Responsável: __________________________________________________________________________________________</w:t>
      </w:r>
    </w:p>
    <w:p w:rsidR="0086046E" w:rsidRDefault="0086046E" w:rsidP="0086046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992"/>
        <w:gridCol w:w="889"/>
        <w:gridCol w:w="2452"/>
        <w:gridCol w:w="2153"/>
      </w:tblGrid>
      <w:tr w:rsidR="0086046E" w:rsidTr="002A70FB">
        <w:tc>
          <w:tcPr>
            <w:tcW w:w="6374" w:type="dxa"/>
          </w:tcPr>
          <w:p w:rsidR="0086046E" w:rsidRDefault="0086046E" w:rsidP="002A70FB">
            <w:r>
              <w:t xml:space="preserve">Proposta </w:t>
            </w:r>
          </w:p>
        </w:tc>
        <w:tc>
          <w:tcPr>
            <w:tcW w:w="1134" w:type="dxa"/>
          </w:tcPr>
          <w:p w:rsidR="0086046E" w:rsidRDefault="0086046E" w:rsidP="002A70FB">
            <w:r>
              <w:t xml:space="preserve">Municipal </w:t>
            </w:r>
          </w:p>
        </w:tc>
        <w:tc>
          <w:tcPr>
            <w:tcW w:w="992" w:type="dxa"/>
          </w:tcPr>
          <w:p w:rsidR="0086046E" w:rsidRDefault="0086046E" w:rsidP="002A70FB">
            <w:r>
              <w:t>Estadual</w:t>
            </w:r>
          </w:p>
        </w:tc>
        <w:tc>
          <w:tcPr>
            <w:tcW w:w="889" w:type="dxa"/>
          </w:tcPr>
          <w:p w:rsidR="0086046E" w:rsidRDefault="0086046E" w:rsidP="002A70FB">
            <w:r>
              <w:t xml:space="preserve">Federal </w:t>
            </w:r>
          </w:p>
        </w:tc>
        <w:tc>
          <w:tcPr>
            <w:tcW w:w="2452" w:type="dxa"/>
          </w:tcPr>
          <w:p w:rsidR="0086046E" w:rsidRDefault="0086046E" w:rsidP="002A70FB">
            <w:r>
              <w:t xml:space="preserve">Responsáveis </w:t>
            </w:r>
          </w:p>
        </w:tc>
        <w:tc>
          <w:tcPr>
            <w:tcW w:w="2153" w:type="dxa"/>
          </w:tcPr>
          <w:p w:rsidR="0086046E" w:rsidRDefault="0086046E" w:rsidP="002A70FB">
            <w:r>
              <w:t xml:space="preserve">Prazo </w:t>
            </w:r>
          </w:p>
        </w:tc>
      </w:tr>
      <w:tr w:rsidR="0086046E" w:rsidTr="002A70FB">
        <w:tc>
          <w:tcPr>
            <w:tcW w:w="6374" w:type="dxa"/>
          </w:tcPr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  <w:p w:rsidR="0086046E" w:rsidRDefault="0086046E" w:rsidP="002A70FB"/>
        </w:tc>
        <w:tc>
          <w:tcPr>
            <w:tcW w:w="1134" w:type="dxa"/>
          </w:tcPr>
          <w:p w:rsidR="0086046E" w:rsidRDefault="0086046E" w:rsidP="002A70FB"/>
        </w:tc>
        <w:tc>
          <w:tcPr>
            <w:tcW w:w="992" w:type="dxa"/>
          </w:tcPr>
          <w:p w:rsidR="0086046E" w:rsidRDefault="0086046E" w:rsidP="002A70FB"/>
        </w:tc>
        <w:tc>
          <w:tcPr>
            <w:tcW w:w="889" w:type="dxa"/>
          </w:tcPr>
          <w:p w:rsidR="0086046E" w:rsidRDefault="0086046E" w:rsidP="002A70FB"/>
        </w:tc>
        <w:tc>
          <w:tcPr>
            <w:tcW w:w="2452" w:type="dxa"/>
          </w:tcPr>
          <w:p w:rsidR="0086046E" w:rsidRDefault="0086046E" w:rsidP="002A70FB"/>
        </w:tc>
        <w:tc>
          <w:tcPr>
            <w:tcW w:w="2153" w:type="dxa"/>
          </w:tcPr>
          <w:p w:rsidR="0086046E" w:rsidRDefault="0086046E" w:rsidP="002A70FB"/>
        </w:tc>
      </w:tr>
    </w:tbl>
    <w:p w:rsidR="0086046E" w:rsidRDefault="0086046E"/>
    <w:p w:rsidR="0042254F" w:rsidRDefault="0042254F" w:rsidP="00A85D08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2254F" w:rsidRDefault="0042254F" w:rsidP="00A85D08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2254F" w:rsidRDefault="0042254F" w:rsidP="0042254F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A85D08" w:rsidRPr="00CA71EF" w:rsidRDefault="00CA71EF" w:rsidP="00CA71EF">
      <w:pPr>
        <w:jc w:val="both"/>
        <w:rPr>
          <w:sz w:val="24"/>
          <w:szCs w:val="24"/>
        </w:rPr>
      </w:pPr>
      <w:r>
        <w:rPr>
          <w:rFonts w:ascii="Arial" w:hAnsi="Arial" w:cs="Arial"/>
          <w:bCs/>
        </w:rPr>
        <w:lastRenderedPageBreak/>
        <w:t>Eixo II</w:t>
      </w:r>
      <w:r w:rsidR="00A85D08" w:rsidRPr="0042254F">
        <w:rPr>
          <w:rFonts w:ascii="Arial" w:hAnsi="Arial" w:cs="Arial"/>
          <w:bCs/>
        </w:rPr>
        <w:t>:</w:t>
      </w:r>
      <w:r w:rsidR="0042254F" w:rsidRPr="0042254F">
        <w:rPr>
          <w:rFonts w:ascii="Arial" w:hAnsi="Arial" w:cs="Arial"/>
        </w:rPr>
        <w:t xml:space="preserve"> </w:t>
      </w:r>
      <w:r w:rsidRPr="00A72BE4">
        <w:rPr>
          <w:sz w:val="24"/>
          <w:szCs w:val="24"/>
        </w:rPr>
        <w:t>Enfrentamento a todo tipo de Violência praticada por meio das invasões de Territórios, onde será abordado:</w:t>
      </w:r>
    </w:p>
    <w:p w:rsidR="0086046E" w:rsidRPr="0042254F" w:rsidRDefault="0086046E" w:rsidP="0086046E">
      <w:pPr>
        <w:rPr>
          <w:rFonts w:ascii="Arial" w:hAnsi="Arial" w:cs="Arial"/>
          <w:sz w:val="24"/>
          <w:szCs w:val="24"/>
        </w:rPr>
      </w:pPr>
      <w:r w:rsidRPr="0042254F">
        <w:rPr>
          <w:rFonts w:ascii="Arial" w:hAnsi="Arial" w:cs="Arial"/>
          <w:sz w:val="24"/>
          <w:szCs w:val="24"/>
        </w:rPr>
        <w:t>Respons</w:t>
      </w:r>
      <w:r w:rsidR="00CA71EF">
        <w:rPr>
          <w:rFonts w:ascii="Arial" w:hAnsi="Arial" w:cs="Arial"/>
          <w:sz w:val="24"/>
          <w:szCs w:val="24"/>
        </w:rPr>
        <w:t>ável: Marcilio e Milton</w:t>
      </w:r>
    </w:p>
    <w:p w:rsidR="0086046E" w:rsidRDefault="0086046E" w:rsidP="0086046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992"/>
        <w:gridCol w:w="889"/>
        <w:gridCol w:w="2452"/>
        <w:gridCol w:w="2153"/>
      </w:tblGrid>
      <w:tr w:rsidR="0086046E" w:rsidTr="002A70FB">
        <w:tc>
          <w:tcPr>
            <w:tcW w:w="6374" w:type="dxa"/>
          </w:tcPr>
          <w:p w:rsidR="0086046E" w:rsidRDefault="0086046E" w:rsidP="002A70FB">
            <w:r>
              <w:t xml:space="preserve">Proposta </w:t>
            </w:r>
          </w:p>
        </w:tc>
        <w:tc>
          <w:tcPr>
            <w:tcW w:w="1134" w:type="dxa"/>
          </w:tcPr>
          <w:p w:rsidR="0086046E" w:rsidRDefault="0086046E" w:rsidP="002A70FB">
            <w:r>
              <w:t xml:space="preserve">Municipal </w:t>
            </w:r>
          </w:p>
        </w:tc>
        <w:tc>
          <w:tcPr>
            <w:tcW w:w="992" w:type="dxa"/>
          </w:tcPr>
          <w:p w:rsidR="0086046E" w:rsidRDefault="0086046E" w:rsidP="002A70FB">
            <w:r>
              <w:t>Estadual</w:t>
            </w:r>
          </w:p>
        </w:tc>
        <w:tc>
          <w:tcPr>
            <w:tcW w:w="889" w:type="dxa"/>
          </w:tcPr>
          <w:p w:rsidR="0086046E" w:rsidRDefault="0086046E" w:rsidP="002A70FB">
            <w:r>
              <w:t xml:space="preserve">Federal </w:t>
            </w:r>
          </w:p>
        </w:tc>
        <w:tc>
          <w:tcPr>
            <w:tcW w:w="2452" w:type="dxa"/>
          </w:tcPr>
          <w:p w:rsidR="0086046E" w:rsidRDefault="00CA71EF" w:rsidP="002A70FB">
            <w:r>
              <w:t>Aprovação</w:t>
            </w:r>
          </w:p>
        </w:tc>
        <w:tc>
          <w:tcPr>
            <w:tcW w:w="2153" w:type="dxa"/>
          </w:tcPr>
          <w:p w:rsidR="0086046E" w:rsidRDefault="0086046E" w:rsidP="002A70FB">
            <w:r>
              <w:t xml:space="preserve">Prazo </w:t>
            </w:r>
          </w:p>
        </w:tc>
      </w:tr>
      <w:tr w:rsidR="0086046E" w:rsidTr="002A70FB">
        <w:tc>
          <w:tcPr>
            <w:tcW w:w="6374" w:type="dxa"/>
          </w:tcPr>
          <w:p w:rsidR="00CA71EF" w:rsidRPr="00CA71EF" w:rsidRDefault="00CA71EF" w:rsidP="00CA71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- </w:t>
            </w:r>
            <w:r w:rsidRPr="00CA71EF">
              <w:rPr>
                <w:sz w:val="24"/>
                <w:szCs w:val="24"/>
              </w:rPr>
              <w:t xml:space="preserve">Fortalecer o conselho municipal de promoção da igualdade racial através de divulgações e captação de recursos para </w:t>
            </w:r>
            <w:proofErr w:type="gramStart"/>
            <w:r w:rsidRPr="00CA71EF">
              <w:rPr>
                <w:sz w:val="24"/>
                <w:szCs w:val="24"/>
              </w:rPr>
              <w:t>implementar</w:t>
            </w:r>
            <w:proofErr w:type="gramEnd"/>
            <w:r w:rsidRPr="00CA71EF">
              <w:rPr>
                <w:sz w:val="24"/>
                <w:szCs w:val="24"/>
              </w:rPr>
              <w:t>/implantar ações de prevenção, combate e atendimento a pessoa vítima de violência no âmbito municipal.</w:t>
            </w:r>
          </w:p>
          <w:p w:rsidR="0086046E" w:rsidRDefault="0086046E" w:rsidP="002A70FB"/>
          <w:p w:rsidR="0086046E" w:rsidRDefault="0086046E" w:rsidP="002A70FB"/>
          <w:p w:rsidR="00CA71EF" w:rsidRPr="00CA71EF" w:rsidRDefault="00CA71EF" w:rsidP="00CA71EF">
            <w:pPr>
              <w:jc w:val="both"/>
              <w:rPr>
                <w:sz w:val="24"/>
                <w:szCs w:val="24"/>
              </w:rPr>
            </w:pPr>
            <w:r>
              <w:t xml:space="preserve">II - </w:t>
            </w:r>
            <w:r w:rsidRPr="00CA71EF">
              <w:rPr>
                <w:sz w:val="24"/>
                <w:szCs w:val="24"/>
              </w:rPr>
              <w:t>Criação de um departamento especializado na defensoria pública estadual para atender violência étnico-racial, étnico-cultural e de intolerância religiosa.</w:t>
            </w:r>
          </w:p>
          <w:p w:rsidR="0086046E" w:rsidRDefault="0086046E" w:rsidP="002A70FB"/>
          <w:p w:rsidR="0086046E" w:rsidRDefault="0086046E" w:rsidP="002A70FB"/>
          <w:p w:rsidR="00CA71EF" w:rsidRPr="00CA71EF" w:rsidRDefault="00CA71EF" w:rsidP="00CA71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</w:t>
            </w:r>
            <w:r w:rsidRPr="00CA71EF">
              <w:rPr>
                <w:sz w:val="24"/>
                <w:szCs w:val="24"/>
              </w:rPr>
              <w:t>Realizar uma reforma legislativa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Pr="00CA71EF">
              <w:rPr>
                <w:sz w:val="24"/>
                <w:szCs w:val="24"/>
              </w:rPr>
              <w:t>via</w:t>
            </w:r>
            <w:proofErr w:type="gramEnd"/>
            <w:r w:rsidRPr="00CA71EF">
              <w:rPr>
                <w:sz w:val="24"/>
                <w:szCs w:val="24"/>
              </w:rPr>
              <w:t xml:space="preserve"> Congresso Nacional, específica voltada ao combate de violência étnico racial, inclusive analisando a lei 2848/42 a possibilidade de retirar do crime de injúria racial a vinculação, a representação, tornando assim dever do Ministério Público a queixa crime e o processo nos crimes de injúria racial. </w:t>
            </w:r>
          </w:p>
          <w:p w:rsidR="0086046E" w:rsidRDefault="0086046E" w:rsidP="002A70FB"/>
          <w:p w:rsidR="0086046E" w:rsidRDefault="0086046E" w:rsidP="002A70FB"/>
          <w:p w:rsidR="0086046E" w:rsidRDefault="0086046E" w:rsidP="002A70FB">
            <w:bookmarkStart w:id="0" w:name="_GoBack"/>
            <w:bookmarkEnd w:id="0"/>
          </w:p>
          <w:p w:rsidR="0086046E" w:rsidRDefault="0086046E" w:rsidP="002A70FB"/>
        </w:tc>
        <w:tc>
          <w:tcPr>
            <w:tcW w:w="1134" w:type="dxa"/>
          </w:tcPr>
          <w:p w:rsidR="0086046E" w:rsidRDefault="00CA71EF" w:rsidP="00CA71EF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86046E" w:rsidRDefault="0086046E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CA71EF">
            <w:pPr>
              <w:jc w:val="center"/>
            </w:pPr>
            <w:r>
              <w:t>X</w:t>
            </w:r>
          </w:p>
        </w:tc>
        <w:tc>
          <w:tcPr>
            <w:tcW w:w="889" w:type="dxa"/>
          </w:tcPr>
          <w:p w:rsidR="0086046E" w:rsidRDefault="0086046E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2A70FB"/>
          <w:p w:rsidR="00CA71EF" w:rsidRDefault="00CA71EF" w:rsidP="00CA71EF">
            <w:pPr>
              <w:jc w:val="center"/>
            </w:pPr>
            <w:r>
              <w:t>X</w:t>
            </w:r>
          </w:p>
        </w:tc>
        <w:tc>
          <w:tcPr>
            <w:tcW w:w="2452" w:type="dxa"/>
          </w:tcPr>
          <w:p w:rsidR="0086046E" w:rsidRDefault="0086046E" w:rsidP="002A70FB"/>
        </w:tc>
        <w:tc>
          <w:tcPr>
            <w:tcW w:w="2153" w:type="dxa"/>
          </w:tcPr>
          <w:p w:rsidR="0086046E" w:rsidRDefault="0086046E" w:rsidP="002A70FB"/>
        </w:tc>
      </w:tr>
    </w:tbl>
    <w:p w:rsidR="0086046E" w:rsidRDefault="0086046E"/>
    <w:p w:rsidR="00A85D08" w:rsidRDefault="00A85D08"/>
    <w:sectPr w:rsidR="00A85D08" w:rsidSect="008604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A3EF1"/>
    <w:multiLevelType w:val="hybridMultilevel"/>
    <w:tmpl w:val="B9D49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6E"/>
    <w:rsid w:val="000119DD"/>
    <w:rsid w:val="000368C9"/>
    <w:rsid w:val="00046996"/>
    <w:rsid w:val="0006401A"/>
    <w:rsid w:val="0027254E"/>
    <w:rsid w:val="002B4DE4"/>
    <w:rsid w:val="0042254F"/>
    <w:rsid w:val="00540FCC"/>
    <w:rsid w:val="0086046E"/>
    <w:rsid w:val="00A85D08"/>
    <w:rsid w:val="00B37AC9"/>
    <w:rsid w:val="00CA71EF"/>
    <w:rsid w:val="00F7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5D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A7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5D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A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 Pereira Dias</dc:creator>
  <cp:lastModifiedBy>pmna</cp:lastModifiedBy>
  <cp:revision>5</cp:revision>
  <dcterms:created xsi:type="dcterms:W3CDTF">2022-06-10T18:59:00Z</dcterms:created>
  <dcterms:modified xsi:type="dcterms:W3CDTF">2022-06-14T14:06:00Z</dcterms:modified>
</cp:coreProperties>
</file>